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2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宋体" w:hAnsi="Calibri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72C8"/>
    <w:rsid w:val="0B262AE8"/>
    <w:rsid w:val="180A449A"/>
    <w:rsid w:val="3BF64F56"/>
    <w:rsid w:val="47E91AC8"/>
    <w:rsid w:val="4A936B13"/>
    <w:rsid w:val="4C0A4277"/>
    <w:rsid w:val="5C8E538C"/>
    <w:rsid w:val="63BF72C8"/>
    <w:rsid w:val="6A3C62AB"/>
    <w:rsid w:val="6ADD4142"/>
    <w:rsid w:val="6E7D6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神木县升富矿业有限公司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2020-05-06T01:54:00Z</dcterms:created>
  <dc:creator>蔺</dc:creator>
  <cp:lastModifiedBy>我們不壹樣的默契</cp:lastModifiedBy>
  <dcterms:modified xsi:type="dcterms:W3CDTF">2021-12-09T02:12:18Z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7D41152CCBA8499A8C13DA909745DF2B</vt:lpwstr>
  </property>
</Properties>
</file>